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charts/chart1.xml" ContentType="application/vnd.openxmlformats-officedocument.drawingml.chart+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Lorem ipsum dolor sit amet, consectetur adipiscing elit. Duis varius ut arcu a efficitur. In et urna metus. Lorem ipsum dolor sit amet, consectetur adipiscing elit. Suspendisse potenti. Nam eu lobortis lacus. Curabitur mauris arcu, lobortis eu gravida sed, molestie in purus. Suspendisse dignissim luctus urna et scelerisque.</w:t>
      </w:r>
    </w:p>
    <w:p>
      <w:pPr>
        <w:pStyle w:val="Normal"/>
        <w:jc w:val="both"/>
        <w:rPr/>
      </w:pPr>
      <w:r>
        <w:rPr/>
      </w:r>
    </w:p>
    <w:p>
      <w:pPr>
        <w:pStyle w:val="Normal"/>
        <w:jc w:val="both"/>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012825" cy="1046480"/>
            <wp:effectExtent l="0" t="0" r="0" b="0"/>
            <wp:wrapSquare wrapText="largest"/>
            <wp:docPr id="1" name="Obrázo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descr=""/>
                    <pic:cNvPicPr>
                      <a:picLocks noChangeAspect="1" noChangeArrowheads="1"/>
                    </pic:cNvPicPr>
                  </pic:nvPicPr>
                  <pic:blipFill>
                    <a:blip r:embed="rId2"/>
                    <a:stretch>
                      <a:fillRect/>
                    </a:stretch>
                  </pic:blipFill>
                  <pic:spPr bwMode="auto">
                    <a:xfrm>
                      <a:off x="0" y="0"/>
                      <a:ext cx="1012825" cy="1046480"/>
                    </a:xfrm>
                    <a:prstGeom prst="rect">
                      <a:avLst/>
                    </a:prstGeom>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Donec feugiat dolor et nisi commodo volutpat. Nulla sit amet enim id ipsum malesuada sodales in feugiat nibh. Nam sodales velit lacus, ut aliquet augue efficitur auctor. Suspendisse potenti. Sed dapibus molestie velit non porttitor. Sed lobortis cursus porta. Aenean in dapibus nibh. Sed tincidunt ac magna varius maximus. Quisque eleifend tincidunt dapibus.</w:t>
      </w:r>
    </w:p>
    <w:p>
      <w:pPr>
        <w:pStyle w:val="Normal"/>
        <w:jc w:val="both"/>
        <w:rPr/>
      </w:pPr>
      <w:r>
        <w:rPr/>
      </w:r>
    </w:p>
    <w:tbl>
      <w:tblPr>
        <w:tblW w:w="3113"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1188"/>
        <w:gridCol w:w="1925"/>
      </w:tblGrid>
      <w:tr>
        <w:trPr/>
        <w:tc>
          <w:tcPr>
            <w:tcW w:w="118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Dátum</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Počet účastníkov</w:t>
            </w:r>
          </w:p>
        </w:tc>
      </w:tr>
      <w:tr>
        <w:trPr/>
        <w:tc>
          <w:tcPr>
            <w:tcW w:w="1188" w:type="dxa"/>
            <w:tcBorders>
              <w:left w:val="single" w:sz="4" w:space="0" w:color="000000"/>
              <w:bottom w:val="single" w:sz="4" w:space="0" w:color="000000"/>
              <w:insideH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2007</w:t>
            </w:r>
          </w:p>
        </w:tc>
        <w:tc>
          <w:tcPr>
            <w:tcW w:w="192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50</w:t>
            </w:r>
          </w:p>
        </w:tc>
      </w:tr>
      <w:tr>
        <w:trPr/>
        <w:tc>
          <w:tcPr>
            <w:tcW w:w="1188" w:type="dxa"/>
            <w:tcBorders>
              <w:left w:val="single" w:sz="4" w:space="0" w:color="000000"/>
              <w:bottom w:val="single" w:sz="4" w:space="0" w:color="000000"/>
              <w:insideH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2008</w:t>
            </w:r>
          </w:p>
        </w:tc>
        <w:tc>
          <w:tcPr>
            <w:tcW w:w="192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105</w:t>
            </w:r>
          </w:p>
        </w:tc>
      </w:tr>
      <w:tr>
        <w:trPr/>
        <w:tc>
          <w:tcPr>
            <w:tcW w:w="1188" w:type="dxa"/>
            <w:tcBorders>
              <w:left w:val="single" w:sz="4" w:space="0" w:color="000000"/>
              <w:bottom w:val="single" w:sz="4" w:space="0" w:color="000000"/>
              <w:insideH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2009</w:t>
            </w:r>
          </w:p>
        </w:tc>
        <w:tc>
          <w:tcPr>
            <w:tcW w:w="192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90</w:t>
            </w:r>
          </w:p>
        </w:tc>
      </w:tr>
      <w:tr>
        <w:trPr/>
        <w:tc>
          <w:tcPr>
            <w:tcW w:w="1188" w:type="dxa"/>
            <w:tcBorders>
              <w:left w:val="single" w:sz="4" w:space="0" w:color="000000"/>
              <w:bottom w:val="single" w:sz="4" w:space="0" w:color="000000"/>
              <w:insideH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2010</w:t>
            </w:r>
          </w:p>
        </w:tc>
        <w:tc>
          <w:tcPr>
            <w:tcW w:w="192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190</w:t>
            </w:r>
          </w:p>
        </w:tc>
      </w:tr>
      <w:tr>
        <w:trPr/>
        <w:tc>
          <w:tcPr>
            <w:tcW w:w="1188" w:type="dxa"/>
            <w:tcBorders>
              <w:left w:val="single" w:sz="4" w:space="0" w:color="000000"/>
              <w:bottom w:val="single" w:sz="4" w:space="0" w:color="000000"/>
              <w:insideH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2011</w:t>
            </w:r>
          </w:p>
        </w:tc>
        <w:tc>
          <w:tcPr>
            <w:tcW w:w="192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191</w:t>
            </w:r>
          </w:p>
        </w:tc>
      </w:tr>
      <w:tr>
        <w:trPr/>
        <w:tc>
          <w:tcPr>
            <w:tcW w:w="1188" w:type="dxa"/>
            <w:tcBorders>
              <w:left w:val="single" w:sz="4" w:space="0" w:color="000000"/>
              <w:bottom w:val="single" w:sz="4" w:space="0" w:color="000000"/>
              <w:insideH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2012</w:t>
            </w:r>
          </w:p>
        </w:tc>
        <w:tc>
          <w:tcPr>
            <w:tcW w:w="192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250</w:t>
            </w:r>
          </w:p>
        </w:tc>
      </w:tr>
      <w:tr>
        <w:trPr/>
        <w:tc>
          <w:tcPr>
            <w:tcW w:w="1188" w:type="dxa"/>
            <w:tcBorders>
              <w:left w:val="single" w:sz="4" w:space="0" w:color="000000"/>
              <w:bottom w:val="single" w:sz="4" w:space="0" w:color="000000"/>
              <w:insideH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2013</w:t>
            </w:r>
          </w:p>
        </w:tc>
        <w:tc>
          <w:tcPr>
            <w:tcW w:w="192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230</w:t>
            </w:r>
          </w:p>
        </w:tc>
      </w:tr>
      <w:tr>
        <w:trPr/>
        <w:tc>
          <w:tcPr>
            <w:tcW w:w="1188" w:type="dxa"/>
            <w:tcBorders>
              <w:left w:val="single" w:sz="4" w:space="0" w:color="000000"/>
              <w:bottom w:val="single" w:sz="4" w:space="0" w:color="000000"/>
              <w:insideH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2014</w:t>
            </w:r>
          </w:p>
        </w:tc>
        <w:tc>
          <w:tcPr>
            <w:tcW w:w="192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87</w:t>
            </w:r>
          </w:p>
        </w:tc>
      </w:tr>
      <w:tr>
        <w:trPr/>
        <w:tc>
          <w:tcPr>
            <w:tcW w:w="1188" w:type="dxa"/>
            <w:tcBorders>
              <w:left w:val="single" w:sz="4" w:space="0" w:color="000000"/>
              <w:bottom w:val="single" w:sz="4" w:space="0" w:color="000000"/>
              <w:insideH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2014</w:t>
            </w:r>
          </w:p>
        </w:tc>
        <w:tc>
          <w:tcPr>
            <w:tcW w:w="192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248</w:t>
            </w:r>
          </w:p>
        </w:tc>
      </w:tr>
      <w:tr>
        <w:trPr/>
        <w:tc>
          <w:tcPr>
            <w:tcW w:w="1188" w:type="dxa"/>
            <w:tcBorders>
              <w:left w:val="single" w:sz="4" w:space="0" w:color="000000"/>
              <w:bottom w:val="single" w:sz="4" w:space="0" w:color="000000"/>
              <w:insideH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2015</w:t>
            </w:r>
          </w:p>
        </w:tc>
        <w:tc>
          <w:tcPr>
            <w:tcW w:w="192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190</w:t>
            </w:r>
          </w:p>
        </w:tc>
      </w:tr>
      <w:tr>
        <w:trPr/>
        <w:tc>
          <w:tcPr>
            <w:tcW w:w="1188" w:type="dxa"/>
            <w:tcBorders>
              <w:left w:val="single" w:sz="4" w:space="0" w:color="000000"/>
              <w:bottom w:val="single" w:sz="4" w:space="0" w:color="000000"/>
              <w:insideH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2017</w:t>
            </w:r>
          </w:p>
        </w:tc>
        <w:tc>
          <w:tcPr>
            <w:tcW w:w="192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173</w:t>
            </w:r>
          </w:p>
        </w:tc>
      </w:tr>
      <w:tr>
        <w:trPr/>
        <w:tc>
          <w:tcPr>
            <w:tcW w:w="1188" w:type="dxa"/>
            <w:tcBorders>
              <w:left w:val="single" w:sz="4" w:space="0" w:color="000000"/>
              <w:bottom w:val="single" w:sz="4" w:space="0" w:color="000000"/>
              <w:insideH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2018</w:t>
            </w:r>
          </w:p>
        </w:tc>
        <w:tc>
          <w:tcPr>
            <w:tcW w:w="192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258</w:t>
            </w:r>
          </w:p>
        </w:tc>
      </w:tr>
    </w:tbl>
    <w:p>
      <w:pPr>
        <w:pStyle w:val="Normal"/>
        <w:jc w:val="both"/>
        <w:rPr/>
      </w:pPr>
      <w:r>
        <w:rPr/>
        <w:drawing>
          <wp:inline distT="0" distB="0" distL="0" distR="0">
            <wp:extent cx="3755390" cy="2112010"/>
            <wp:effectExtent l="0" t="0" r="0" b="0"/>
            <wp:docPr id="2" name="Obj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jc w:val="both"/>
        <w:rPr/>
      </w:pPr>
      <w:r>
        <w:rPr/>
      </w:r>
    </w:p>
    <w:p>
      <w:pPr>
        <w:pStyle w:val="Normal"/>
        <w:pageBreakBefore w:val="false"/>
        <w:jc w:val="both"/>
        <w:rPr/>
      </w:pPr>
      <w:r>
        <w:rPr/>
      </w:r>
    </w:p>
    <w:p>
      <w:pPr>
        <w:pStyle w:val="Normal"/>
        <w:jc w:val="both"/>
        <w:rPr/>
      </w:pPr>
      <w:r>
        <w:rPr/>
      </w:r>
    </w:p>
    <w:p>
      <w:pPr>
        <w:pStyle w:val="Normal"/>
        <w:jc w:val="both"/>
        <w:rPr/>
      </w:pPr>
      <w:r>
        <w:rPr/>
        <w:t>Lorem ipsum dolor sit amet, consectetur adipiscing elit. Mauris nec interdum tortor, sit amet sollicitudin nisl. Ut id mi ante. Quisque a sem augue. Nulla et elit vitae augue mattis pharetra. Proin ac lectus hendrerit, dapibus dui et, finibus velit.</w:t>
      </w:r>
    </w:p>
    <w:p>
      <w:pPr>
        <w:pStyle w:val="Normal"/>
        <w:jc w:val="both"/>
        <w:rPr/>
      </w:pPr>
      <w:r>
        <w:rPr/>
        <mc:AlternateContent>
          <mc:Choice Requires="wps">
            <w:drawing>
              <wp:anchor behindDoc="0" distT="0" distB="0" distL="0" distR="0" simplePos="0" locked="0" layoutInCell="1" allowOverlap="1" relativeHeight="4">
                <wp:simplePos x="0" y="0"/>
                <wp:positionH relativeFrom="column">
                  <wp:posOffset>2421255</wp:posOffset>
                </wp:positionH>
                <wp:positionV relativeFrom="paragraph">
                  <wp:posOffset>139700</wp:posOffset>
                </wp:positionV>
                <wp:extent cx="833755" cy="691515"/>
                <wp:effectExtent l="0" t="0" r="0" b="0"/>
                <wp:wrapNone/>
                <wp:docPr id="3" name="Útvar1"/>
                <a:graphic xmlns:a="http://schemas.openxmlformats.org/drawingml/2006/main">
                  <a:graphicData uri="http://schemas.microsoft.com/office/word/2010/wordprocessingShape">
                    <wps:wsp>
                      <wps:cNvSpPr/>
                      <wps:spPr>
                        <a:xfrm>
                          <a:off x="0" y="0"/>
                          <a:ext cx="833040" cy="690840"/>
                        </a:xfrm>
                        <a:custGeom>
                          <a:avLst/>
                          <a:gdLst/>
                          <a:ahLst/>
                          <a:rect l="l" t="t" r="r" b="b"/>
                          <a:pathLst>
                            <a:path w="21600" h="21600">
                              <a:moveTo>
                                <a:pt x="10797" y="0"/>
                              </a:moveTo>
                              <a:lnTo>
                                <a:pt x="8278" y="8256"/>
                              </a:lnTo>
                              <a:lnTo>
                                <a:pt x="0" y="8256"/>
                              </a:lnTo>
                              <a:lnTo>
                                <a:pt x="6722" y="13405"/>
                              </a:lnTo>
                              <a:lnTo>
                                <a:pt x="4198" y="21600"/>
                              </a:lnTo>
                              <a:lnTo>
                                <a:pt x="10797" y="16580"/>
                              </a:lnTo>
                              <a:lnTo>
                                <a:pt x="17401" y="21600"/>
                              </a:lnTo>
                              <a:lnTo>
                                <a:pt x="14878" y="13405"/>
                              </a:lnTo>
                              <a:lnTo>
                                <a:pt x="21600" y="8256"/>
                              </a:lnTo>
                              <a:lnTo>
                                <a:pt x="13321" y="8256"/>
                              </a:lnTo>
                              <a:lnTo>
                                <a:pt x="10797" y="0"/>
                              </a:lnTo>
                              <a:close/>
                            </a:path>
                          </a:pathLst>
                        </a:custGeom>
                        <a:solidFill>
                          <a:srgbClr val="99ff66"/>
                        </a:solidFill>
                        <a:ln>
                          <a:solidFill>
                            <a:srgbClr val="00cc00"/>
                          </a:solidFill>
                        </a:ln>
                      </wps:spPr>
                      <wps:style>
                        <a:lnRef idx="0"/>
                        <a:fillRef idx="0"/>
                        <a:effectRef idx="0"/>
                        <a:fontRef idx="minor"/>
                      </wps:style>
                      <wps:bodyPr/>
                    </wps:wsp>
                  </a:graphicData>
                </a:graphic>
              </wp:anchor>
            </w:drawing>
          </mc:Choice>
          <mc:Fallback>
            <w:pict>
              <v:shapetype id="shapetype_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ID="Útvar1" fillcolor="#99ff66" stroked="t" style="position:absolute;margin-left:190.65pt;margin-top:11pt;width:65.55pt;height:54.35pt" type="shapetype_12">
                <w10:wrap type="none"/>
                <v:fill o:detectmouseclick="t" color2="#660099"/>
                <v:stroke color="#00cc00" joinstyle="round" endcap="flat"/>
              </v:shape>
            </w:pict>
          </mc:Fallback>
        </mc:AlternateConten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Aenean eget est felis. Vivamus quis nulla tempus, congue odio in, congue tellus. Etiam blandit lorem velit, at ultrices enim tempus eu. Vestibulum feugiat sapien diam, sollicitudin lobortis enim ornare non. Integer sagittis metus vel pretium pellentesque.</w:t>
      </w:r>
    </w:p>
    <w:p>
      <w:pPr>
        <w:pStyle w:val="Normal"/>
        <w:jc w:val="both"/>
        <w:rPr/>
      </w:pPr>
      <w:r>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sk-SK"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FreeSans"/>
      <w:color w:val="auto"/>
      <w:kern w:val="2"/>
      <w:sz w:val="24"/>
      <w:szCs w:val="24"/>
      <w:lang w:val="sk-SK" w:eastAsia="zh-CN" w:bidi="hi-IN"/>
    </w:rPr>
  </w:style>
  <w:style w:type="paragraph" w:styleId="Nadpis">
    <w:name w:val="Nadpis"/>
    <w:basedOn w:val="Normal"/>
    <w:next w:val="Telotextu"/>
    <w:qFormat/>
    <w:pPr>
      <w:keepNext w:val="true"/>
      <w:spacing w:before="240" w:after="120"/>
    </w:pPr>
    <w:rPr>
      <w:rFonts w:ascii="Liberation Sans" w:hAnsi="Liberation Sans" w:eastAsia="Droid Sans Fallback" w:cs="FreeSans"/>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FreeSans"/>
    </w:rPr>
  </w:style>
  <w:style w:type="paragraph" w:styleId="Popis">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uka">
    <w:name w:val="Tabuľka"/>
    <w:basedOn w:val="Popis"/>
    <w:qFormat/>
    <w:pPr/>
    <w:rPr/>
  </w:style>
  <w:style w:type="paragraph" w:styleId="Obsahtabuky">
    <w:name w:val="Obsah tabuľky"/>
    <w:basedOn w:val="Normal"/>
    <w:qFormat/>
    <w:pPr>
      <w:suppressLineNumbers/>
    </w:pPr>
    <w:rPr/>
  </w:style>
  <w:style w:type="paragraph" w:styleId="Nadpistabuky">
    <w:name w:val="Nadpis tabuľky"/>
    <w:basedOn w:val="Obsahtabuky"/>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hart" Target="charts/chart1.xml"/><Relationship Id="rId4" Type="http://schemas.openxmlformats.org/officeDocument/2006/relationships/fontTable" Target="fontTable.xml"/><Relationship Id="rId5" Type="http://schemas.openxmlformats.org/officeDocument/2006/relationships/settings" Target="settings.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300" spc="-1" strike="noStrike">
                <a:latin typeface="Arial"/>
              </a:defRPr>
            </a:pPr>
            <a:r>
              <a:rPr b="0" sz="1300" spc="-1" strike="noStrike">
                <a:latin typeface="Arial"/>
              </a:rPr>
              <a:t>Účasť na Letnej škole esperanta</a:t>
            </a:r>
          </a:p>
        </c:rich>
      </c:tx>
      <c:overlay val="0"/>
      <c:spPr>
        <a:noFill/>
        <a:ln>
          <a:noFill/>
        </a:ln>
      </c:spPr>
    </c:title>
    <c:autoTitleDeleted val="0"/>
    <c:plotArea>
      <c:barChart>
        <c:barDir val="col"/>
        <c:grouping val="clustered"/>
        <c:varyColors val="0"/>
        <c:ser>
          <c:idx val="0"/>
          <c:order val="0"/>
          <c:tx>
            <c:strRef>
              <c:f>label 0</c:f>
              <c:strCache>
                <c:ptCount val="1"/>
                <c:pt idx="0">
                  <c:v>2007</c:v>
                </c:pt>
              </c:strCache>
            </c:strRef>
          </c:tx>
          <c:spPr>
            <a:solidFill>
              <a:srgbClr val="004586"/>
            </a:solidFill>
            <a:ln>
              <a:noFill/>
            </a:ln>
          </c:spPr>
          <c:invertIfNegative val="0"/>
          <c:dLbls>
            <c:numFmt formatCode="General" sourceLinked="1"/>
            <c:showLegendKey val="0"/>
            <c:showVal val="0"/>
            <c:showCatName val="0"/>
            <c:showSerName val="0"/>
            <c:showPercent val="0"/>
            <c:showLeaderLines val="0"/>
          </c:dLbls>
          <c:cat>
            <c:strRef>
              <c:f>categories</c:f>
              <c:strCache>
                <c:ptCount val="1"/>
                <c:pt idx="0">
                  <c:v>Počet účastníkov</c:v>
                </c:pt>
              </c:strCache>
            </c:strRef>
          </c:cat>
          <c:val>
            <c:numRef>
              <c:f>0</c:f>
              <c:numCache>
                <c:formatCode>General</c:formatCode>
                <c:ptCount val="1"/>
                <c:pt idx="0">
                  <c:v>50</c:v>
                </c:pt>
              </c:numCache>
            </c:numRef>
          </c:val>
        </c:ser>
        <c:ser>
          <c:idx val="1"/>
          <c:order val="1"/>
          <c:tx>
            <c:strRef>
              <c:f>label 1</c:f>
              <c:strCache>
                <c:ptCount val="1"/>
                <c:pt idx="0">
                  <c:v>2008</c:v>
                </c:pt>
              </c:strCache>
            </c:strRef>
          </c:tx>
          <c:spPr>
            <a:solidFill>
              <a:srgbClr val="ff420e"/>
            </a:solidFill>
            <a:ln>
              <a:noFill/>
            </a:ln>
          </c:spPr>
          <c:invertIfNegative val="0"/>
          <c:dLbls>
            <c:numFmt formatCode="General" sourceLinked="1"/>
            <c:showLegendKey val="0"/>
            <c:showVal val="0"/>
            <c:showCatName val="0"/>
            <c:showSerName val="0"/>
            <c:showPercent val="0"/>
            <c:showLeaderLines val="0"/>
          </c:dLbls>
          <c:cat>
            <c:strRef>
              <c:f>categories</c:f>
              <c:strCache>
                <c:ptCount val="1"/>
                <c:pt idx="0">
                  <c:v>Počet účastníkov</c:v>
                </c:pt>
              </c:strCache>
            </c:strRef>
          </c:cat>
          <c:val>
            <c:numRef>
              <c:f>1</c:f>
              <c:numCache>
                <c:formatCode>General</c:formatCode>
                <c:ptCount val="1"/>
                <c:pt idx="0">
                  <c:v>105</c:v>
                </c:pt>
              </c:numCache>
            </c:numRef>
          </c:val>
        </c:ser>
        <c:ser>
          <c:idx val="2"/>
          <c:order val="2"/>
          <c:tx>
            <c:strRef>
              <c:f>label 2</c:f>
              <c:strCache>
                <c:ptCount val="1"/>
                <c:pt idx="0">
                  <c:v>2009</c:v>
                </c:pt>
              </c:strCache>
            </c:strRef>
          </c:tx>
          <c:spPr>
            <a:solidFill>
              <a:srgbClr val="ffd320"/>
            </a:solidFill>
            <a:ln>
              <a:noFill/>
            </a:ln>
          </c:spPr>
          <c:invertIfNegative val="0"/>
          <c:dLbls>
            <c:numFmt formatCode="General" sourceLinked="1"/>
            <c:showLegendKey val="0"/>
            <c:showVal val="0"/>
            <c:showCatName val="0"/>
            <c:showSerName val="0"/>
            <c:showPercent val="0"/>
            <c:showLeaderLines val="0"/>
          </c:dLbls>
          <c:cat>
            <c:strRef>
              <c:f>categories</c:f>
              <c:strCache>
                <c:ptCount val="1"/>
                <c:pt idx="0">
                  <c:v>Počet účastníkov</c:v>
                </c:pt>
              </c:strCache>
            </c:strRef>
          </c:cat>
          <c:val>
            <c:numRef>
              <c:f>2</c:f>
              <c:numCache>
                <c:formatCode>General</c:formatCode>
                <c:ptCount val="1"/>
                <c:pt idx="0">
                  <c:v>90</c:v>
                </c:pt>
              </c:numCache>
            </c:numRef>
          </c:val>
        </c:ser>
        <c:ser>
          <c:idx val="3"/>
          <c:order val="3"/>
          <c:tx>
            <c:strRef>
              <c:f>label 3</c:f>
              <c:strCache>
                <c:ptCount val="1"/>
                <c:pt idx="0">
                  <c:v>2010</c:v>
                </c:pt>
              </c:strCache>
            </c:strRef>
          </c:tx>
          <c:spPr>
            <a:solidFill>
              <a:srgbClr val="579d1c"/>
            </a:solidFill>
            <a:ln>
              <a:noFill/>
            </a:ln>
          </c:spPr>
          <c:invertIfNegative val="0"/>
          <c:dLbls>
            <c:numFmt formatCode="General" sourceLinked="1"/>
            <c:showLegendKey val="0"/>
            <c:showVal val="0"/>
            <c:showCatName val="0"/>
            <c:showSerName val="0"/>
            <c:showPercent val="0"/>
            <c:showLeaderLines val="0"/>
          </c:dLbls>
          <c:cat>
            <c:strRef>
              <c:f>categories</c:f>
              <c:strCache>
                <c:ptCount val="1"/>
                <c:pt idx="0">
                  <c:v>Počet účastníkov</c:v>
                </c:pt>
              </c:strCache>
            </c:strRef>
          </c:cat>
          <c:val>
            <c:numRef>
              <c:f>3</c:f>
              <c:numCache>
                <c:formatCode>General</c:formatCode>
                <c:ptCount val="1"/>
                <c:pt idx="0">
                  <c:v>190</c:v>
                </c:pt>
              </c:numCache>
            </c:numRef>
          </c:val>
        </c:ser>
        <c:ser>
          <c:idx val="4"/>
          <c:order val="4"/>
          <c:tx>
            <c:strRef>
              <c:f>label 4</c:f>
              <c:strCache>
                <c:ptCount val="1"/>
                <c:pt idx="0">
                  <c:v>2011</c:v>
                </c:pt>
              </c:strCache>
            </c:strRef>
          </c:tx>
          <c:spPr>
            <a:solidFill>
              <a:srgbClr val="7e0021"/>
            </a:solidFill>
            <a:ln>
              <a:noFill/>
            </a:ln>
          </c:spPr>
          <c:invertIfNegative val="0"/>
          <c:dLbls>
            <c:numFmt formatCode="General" sourceLinked="1"/>
            <c:showLegendKey val="0"/>
            <c:showVal val="0"/>
            <c:showCatName val="0"/>
            <c:showSerName val="0"/>
            <c:showPercent val="0"/>
            <c:showLeaderLines val="0"/>
          </c:dLbls>
          <c:cat>
            <c:strRef>
              <c:f>categories</c:f>
              <c:strCache>
                <c:ptCount val="1"/>
                <c:pt idx="0">
                  <c:v>Počet účastníkov</c:v>
                </c:pt>
              </c:strCache>
            </c:strRef>
          </c:cat>
          <c:val>
            <c:numRef>
              <c:f>4</c:f>
              <c:numCache>
                <c:formatCode>General</c:formatCode>
                <c:ptCount val="1"/>
                <c:pt idx="0">
                  <c:v>191</c:v>
                </c:pt>
              </c:numCache>
            </c:numRef>
          </c:val>
        </c:ser>
        <c:ser>
          <c:idx val="5"/>
          <c:order val="5"/>
          <c:tx>
            <c:strRef>
              <c:f>label 5</c:f>
              <c:strCache>
                <c:ptCount val="1"/>
                <c:pt idx="0">
                  <c:v>2012</c:v>
                </c:pt>
              </c:strCache>
            </c:strRef>
          </c:tx>
          <c:spPr>
            <a:solidFill>
              <a:srgbClr val="83caff"/>
            </a:solidFill>
            <a:ln>
              <a:noFill/>
            </a:ln>
          </c:spPr>
          <c:invertIfNegative val="0"/>
          <c:dLbls>
            <c:numFmt formatCode="General" sourceLinked="1"/>
            <c:showLegendKey val="0"/>
            <c:showVal val="0"/>
            <c:showCatName val="0"/>
            <c:showSerName val="0"/>
            <c:showPercent val="0"/>
            <c:showLeaderLines val="0"/>
          </c:dLbls>
          <c:cat>
            <c:strRef>
              <c:f>categories</c:f>
              <c:strCache>
                <c:ptCount val="1"/>
                <c:pt idx="0">
                  <c:v>Počet účastníkov</c:v>
                </c:pt>
              </c:strCache>
            </c:strRef>
          </c:cat>
          <c:val>
            <c:numRef>
              <c:f>5</c:f>
              <c:numCache>
                <c:formatCode>General</c:formatCode>
                <c:ptCount val="1"/>
                <c:pt idx="0">
                  <c:v>250</c:v>
                </c:pt>
              </c:numCache>
            </c:numRef>
          </c:val>
        </c:ser>
        <c:ser>
          <c:idx val="6"/>
          <c:order val="6"/>
          <c:tx>
            <c:strRef>
              <c:f>label 6</c:f>
              <c:strCache>
                <c:ptCount val="1"/>
                <c:pt idx="0">
                  <c:v>2013</c:v>
                </c:pt>
              </c:strCache>
            </c:strRef>
          </c:tx>
          <c:spPr>
            <a:solidFill>
              <a:srgbClr val="314004"/>
            </a:solidFill>
            <a:ln>
              <a:noFill/>
            </a:ln>
          </c:spPr>
          <c:invertIfNegative val="0"/>
          <c:dLbls>
            <c:numFmt formatCode="General" sourceLinked="1"/>
            <c:showLegendKey val="0"/>
            <c:showVal val="0"/>
            <c:showCatName val="0"/>
            <c:showSerName val="0"/>
            <c:showPercent val="0"/>
            <c:showLeaderLines val="0"/>
          </c:dLbls>
          <c:cat>
            <c:strRef>
              <c:f>categories</c:f>
              <c:strCache>
                <c:ptCount val="1"/>
                <c:pt idx="0">
                  <c:v>Počet účastníkov</c:v>
                </c:pt>
              </c:strCache>
            </c:strRef>
          </c:cat>
          <c:val>
            <c:numRef>
              <c:f>6</c:f>
              <c:numCache>
                <c:formatCode>General</c:formatCode>
                <c:ptCount val="1"/>
                <c:pt idx="0">
                  <c:v>230</c:v>
                </c:pt>
              </c:numCache>
            </c:numRef>
          </c:val>
        </c:ser>
        <c:ser>
          <c:idx val="7"/>
          <c:order val="7"/>
          <c:tx>
            <c:strRef>
              <c:f>label 7</c:f>
              <c:strCache>
                <c:ptCount val="1"/>
                <c:pt idx="0">
                  <c:v>2014</c:v>
                </c:pt>
              </c:strCache>
            </c:strRef>
          </c:tx>
          <c:spPr>
            <a:solidFill>
              <a:srgbClr val="aecf00"/>
            </a:solidFill>
            <a:ln>
              <a:noFill/>
            </a:ln>
          </c:spPr>
          <c:invertIfNegative val="0"/>
          <c:dLbls>
            <c:numFmt formatCode="General" sourceLinked="1"/>
            <c:showLegendKey val="0"/>
            <c:showVal val="0"/>
            <c:showCatName val="0"/>
            <c:showSerName val="0"/>
            <c:showPercent val="0"/>
            <c:showLeaderLines val="0"/>
          </c:dLbls>
          <c:cat>
            <c:strRef>
              <c:f>categories</c:f>
              <c:strCache>
                <c:ptCount val="1"/>
                <c:pt idx="0">
                  <c:v>Počet účastníkov</c:v>
                </c:pt>
              </c:strCache>
            </c:strRef>
          </c:cat>
          <c:val>
            <c:numRef>
              <c:f>7</c:f>
              <c:numCache>
                <c:formatCode>General</c:formatCode>
                <c:ptCount val="1"/>
                <c:pt idx="0">
                  <c:v>87</c:v>
                </c:pt>
              </c:numCache>
            </c:numRef>
          </c:val>
        </c:ser>
        <c:ser>
          <c:idx val="8"/>
          <c:order val="8"/>
          <c:tx>
            <c:strRef>
              <c:f>label 8</c:f>
              <c:strCache>
                <c:ptCount val="1"/>
                <c:pt idx="0">
                  <c:v>2014</c:v>
                </c:pt>
              </c:strCache>
            </c:strRef>
          </c:tx>
          <c:spPr>
            <a:solidFill>
              <a:srgbClr val="4b1f6f"/>
            </a:solidFill>
            <a:ln>
              <a:noFill/>
            </a:ln>
          </c:spPr>
          <c:invertIfNegative val="0"/>
          <c:dLbls>
            <c:numFmt formatCode="General" sourceLinked="1"/>
            <c:showLegendKey val="0"/>
            <c:showVal val="0"/>
            <c:showCatName val="0"/>
            <c:showSerName val="0"/>
            <c:showPercent val="0"/>
            <c:showLeaderLines val="0"/>
          </c:dLbls>
          <c:cat>
            <c:strRef>
              <c:f>categories</c:f>
              <c:strCache>
                <c:ptCount val="1"/>
                <c:pt idx="0">
                  <c:v>Počet účastníkov</c:v>
                </c:pt>
              </c:strCache>
            </c:strRef>
          </c:cat>
          <c:val>
            <c:numRef>
              <c:f>8</c:f>
              <c:numCache>
                <c:formatCode>General</c:formatCode>
                <c:ptCount val="1"/>
                <c:pt idx="0">
                  <c:v>248</c:v>
                </c:pt>
              </c:numCache>
            </c:numRef>
          </c:val>
        </c:ser>
        <c:ser>
          <c:idx val="9"/>
          <c:order val="9"/>
          <c:tx>
            <c:strRef>
              <c:f>label 9</c:f>
              <c:strCache>
                <c:ptCount val="1"/>
                <c:pt idx="0">
                  <c:v>2015</c:v>
                </c:pt>
              </c:strCache>
            </c:strRef>
          </c:tx>
          <c:spPr>
            <a:solidFill>
              <a:srgbClr val="ff950e"/>
            </a:solidFill>
            <a:ln>
              <a:noFill/>
            </a:ln>
          </c:spPr>
          <c:invertIfNegative val="0"/>
          <c:dLbls>
            <c:numFmt formatCode="General" sourceLinked="1"/>
            <c:showLegendKey val="0"/>
            <c:showVal val="0"/>
            <c:showCatName val="0"/>
            <c:showSerName val="0"/>
            <c:showPercent val="0"/>
            <c:showLeaderLines val="0"/>
          </c:dLbls>
          <c:cat>
            <c:strRef>
              <c:f>categories</c:f>
              <c:strCache>
                <c:ptCount val="1"/>
                <c:pt idx="0">
                  <c:v>Počet účastníkov</c:v>
                </c:pt>
              </c:strCache>
            </c:strRef>
          </c:cat>
          <c:val>
            <c:numRef>
              <c:f>9</c:f>
              <c:numCache>
                <c:formatCode>General</c:formatCode>
                <c:ptCount val="1"/>
                <c:pt idx="0">
                  <c:v>190</c:v>
                </c:pt>
              </c:numCache>
            </c:numRef>
          </c:val>
        </c:ser>
        <c:ser>
          <c:idx val="10"/>
          <c:order val="10"/>
          <c:tx>
            <c:strRef>
              <c:f>label 10</c:f>
              <c:strCache>
                <c:ptCount val="1"/>
                <c:pt idx="0">
                  <c:v>2017</c:v>
                </c:pt>
              </c:strCache>
            </c:strRef>
          </c:tx>
          <c:spPr>
            <a:solidFill>
              <a:srgbClr val="c5000b"/>
            </a:solidFill>
            <a:ln>
              <a:noFill/>
            </a:ln>
          </c:spPr>
          <c:invertIfNegative val="0"/>
          <c:dLbls>
            <c:numFmt formatCode="General" sourceLinked="1"/>
            <c:showLegendKey val="0"/>
            <c:showVal val="0"/>
            <c:showCatName val="0"/>
            <c:showSerName val="0"/>
            <c:showPercent val="0"/>
            <c:showLeaderLines val="0"/>
          </c:dLbls>
          <c:cat>
            <c:strRef>
              <c:f>categories</c:f>
              <c:strCache>
                <c:ptCount val="1"/>
                <c:pt idx="0">
                  <c:v>Počet účastníkov</c:v>
                </c:pt>
              </c:strCache>
            </c:strRef>
          </c:cat>
          <c:val>
            <c:numRef>
              <c:f>10</c:f>
              <c:numCache>
                <c:formatCode>General</c:formatCode>
                <c:ptCount val="1"/>
                <c:pt idx="0">
                  <c:v>173</c:v>
                </c:pt>
              </c:numCache>
            </c:numRef>
          </c:val>
        </c:ser>
        <c:ser>
          <c:idx val="11"/>
          <c:order val="11"/>
          <c:tx>
            <c:strRef>
              <c:f>label 11</c:f>
              <c:strCache>
                <c:ptCount val="1"/>
                <c:pt idx="0">
                  <c:v>2018</c:v>
                </c:pt>
              </c:strCache>
            </c:strRef>
          </c:tx>
          <c:spPr>
            <a:solidFill>
              <a:srgbClr val="0084d1"/>
            </a:solidFill>
            <a:ln>
              <a:noFill/>
            </a:ln>
          </c:spPr>
          <c:invertIfNegative val="0"/>
          <c:dLbls>
            <c:numFmt formatCode="General" sourceLinked="1"/>
            <c:showLegendKey val="0"/>
            <c:showVal val="0"/>
            <c:showCatName val="0"/>
            <c:showSerName val="0"/>
            <c:showPercent val="0"/>
            <c:showLeaderLines val="0"/>
          </c:dLbls>
          <c:cat>
            <c:strRef>
              <c:f>categories</c:f>
              <c:strCache>
                <c:ptCount val="1"/>
                <c:pt idx="0">
                  <c:v>Počet účastníkov</c:v>
                </c:pt>
              </c:strCache>
            </c:strRef>
          </c:cat>
          <c:val>
            <c:numRef>
              <c:f>11</c:f>
              <c:numCache>
                <c:formatCode>General</c:formatCode>
                <c:ptCount val="1"/>
                <c:pt idx="0">
                  <c:v>258</c:v>
                </c:pt>
              </c:numCache>
            </c:numRef>
          </c:val>
        </c:ser>
        <c:gapWidth val="100"/>
        <c:overlap val="0"/>
        <c:axId val="18014635"/>
        <c:axId val="79340788"/>
      </c:barChart>
      <c:catAx>
        <c:axId val="18014635"/>
        <c:scaling>
          <c:orientation val="minMax"/>
        </c:scaling>
        <c:delete val="0"/>
        <c:axPos val="b"/>
        <c:numFmt formatCode="General" sourceLinked="0"/>
        <c:majorTickMark val="out"/>
        <c:minorTickMark val="none"/>
        <c:tickLblPos val="nextTo"/>
        <c:spPr>
          <a:ln>
            <a:solidFill>
              <a:srgbClr val="b3b3b3"/>
            </a:solidFill>
          </a:ln>
        </c:spPr>
        <c:txPr>
          <a:bodyPr/>
          <a:lstStyle/>
          <a:p>
            <a:pPr>
              <a:defRPr b="0" sz="1000" spc="-1" strike="noStrike">
                <a:latin typeface="Arial"/>
              </a:defRPr>
            </a:pPr>
          </a:p>
        </c:txPr>
        <c:crossAx val="79340788"/>
        <c:crosses val="autoZero"/>
        <c:auto val="1"/>
        <c:lblAlgn val="ctr"/>
        <c:lblOffset val="100"/>
      </c:catAx>
      <c:valAx>
        <c:axId val="79340788"/>
        <c:scaling>
          <c:orientation val="minMax"/>
        </c:scaling>
        <c:delete val="0"/>
        <c:axPos val="l"/>
        <c:majorGridlines>
          <c:spPr>
            <a:ln>
              <a:solidFill>
                <a:srgbClr val="b3b3b3"/>
              </a:solidFill>
            </a:ln>
          </c:spPr>
        </c:majorGridlines>
        <c:numFmt formatCode="General" sourceLinked="0"/>
        <c:majorTickMark val="out"/>
        <c:minorTickMark val="none"/>
        <c:tickLblPos val="nextTo"/>
        <c:spPr>
          <a:ln>
            <a:solidFill>
              <a:srgbClr val="b3b3b3"/>
            </a:solidFill>
          </a:ln>
        </c:spPr>
        <c:txPr>
          <a:bodyPr/>
          <a:lstStyle/>
          <a:p>
            <a:pPr>
              <a:defRPr b="0" sz="1000" spc="-1" strike="noStrike">
                <a:latin typeface="Arial"/>
              </a:defRPr>
            </a:pPr>
          </a:p>
        </c:txPr>
        <c:crossAx val="18014635"/>
        <c:crosses val="autoZero"/>
      </c:valAx>
      <c:spPr>
        <a:noFill/>
        <a:ln>
          <a:solidFill>
            <a:srgbClr val="b3b3b3"/>
          </a:solidFill>
        </a:ln>
      </c:spPr>
    </c:plotArea>
    <c:legend>
      <c:legendPos val="r"/>
      <c:overlay val="0"/>
      <c:spPr>
        <a:noFill/>
        <a:ln>
          <a:noFill/>
        </a:ln>
      </c:spPr>
      <c:txPr>
        <a:bodyPr/>
        <a:lstStyle/>
        <a:p>
          <a:pPr>
            <a:defRPr b="0" sz="1000" spc="-1" strike="noStrike">
              <a:latin typeface="Arial"/>
            </a:defRPr>
          </a:pPr>
        </a:p>
      </c:txPr>
    </c:legend>
    <c:plotVisOnly val="1"/>
    <c:dispBlanksAs val="gap"/>
  </c:chart>
  <c:spPr>
    <a:solidFill>
      <a:srgbClr val="ffffff"/>
    </a:solidFill>
    <a:ln>
      <a:noFill/>
    </a:ln>
  </c:spPr>
</c:chartSpace>
</file>

<file path=docProps/app.xml><?xml version="1.0" encoding="utf-8"?>
<Properties xmlns="http://schemas.openxmlformats.org/officeDocument/2006/extended-properties" xmlns:vt="http://schemas.openxmlformats.org/officeDocument/2006/docPropsVTypes">
  <Template/>
  <TotalTime>24</TotalTime>
  <Application>LibreOffice/6.0.7.3$Linux_X86_64 LibreOffice_project/00m0$Build-3</Application>
  <Pages>2</Pages>
  <Words>205</Words>
  <Characters>1114</Characters>
  <CharactersWithSpaces>1289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2016-11-02T12:56:36Z</dcterms:created>
  <dc:creator/>
  <dc:description/>
  <dc:language>sk-SK</dc:language>
  <cp:lastModifiedBy/>
  <dcterms:modified xsi:type="dcterms:W3CDTF">2020-08-28T16:33:23Z</dcterms:modified>
  <cp:revision>3</cp:revision>
  <dc:subject/>
  <dc:title/>
</cp:coreProperties>
</file>